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9750 lm, Fluxo luminoso específico: 122 lm/W. Potência: 80.0 W, DALI regulável. Frequência: 50-60Hz AC.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