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2000 lm, Flujo luminoso específico: 108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