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3600 lm, Flujo luminoso específico: 136 lm/W. Consumo de energía: 26.5 W, no regulable. Frecuencia: 50Hz AC. Tensión: 230-240V.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