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V3RB10M/W4M0D0X0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arquitetónica.</w:t>
      </w:r>
    </w:p>
    <w:p>
      <w:pPr>
        <w:numPr>
          <w:ilvl w:val="0"/>
          <w:numId w:val="3"/>
        </w:numPr>
      </w:pPr>
      <w:r>
        <w:rPr/>
        <w:t xml:space="preserve">Shielded lens optics, preto policarbonato (PC), extensiva média distribuição luminosa.</w:t>
      </w:r>
    </w:p>
    <w:p>
      <w:pPr>
        <w:numPr>
          <w:ilvl w:val="0"/>
          <w:numId w:val="3"/>
        </w:numPr>
      </w:pPr>
      <w:r>
        <w:rPr/>
        <w:t xml:space="preserve">Dimensões: 1827 mm x 60 mm x 90 mm.</w:t>
      </w:r>
    </w:p>
    <w:p>
      <w:pPr>
        <w:numPr>
          <w:ilvl w:val="0"/>
          <w:numId w:val="3"/>
        </w:numPr>
      </w:pPr>
      <w:r>
        <w:rPr/>
        <w:t xml:space="preserve">Shielded Lens (Lente blindada): a fonte de luz é escondida da vista por unidades de blindagem, a distribuição da luz é feita com uma lente. Duas lentes por cavidade de blindagem.</w:t>
      </w:r>
    </w:p>
    <w:p>
      <w:pPr>
        <w:numPr>
          <w:ilvl w:val="0"/>
          <w:numId w:val="3"/>
        </w:numPr>
      </w:pPr>
      <w:r>
        <w:rPr/>
        <w:t xml:space="preserve">Fluxo luminoso: 3600 lm, Fluxo luminoso específico: 119 lm/W.</w:t>
      </w:r>
    </w:p>
    <w:p>
      <w:pPr>
        <w:numPr>
          <w:ilvl w:val="0"/>
          <w:numId w:val="3"/>
        </w:numPr>
      </w:pPr>
      <w:r>
        <w:rPr/>
        <w:t xml:space="preserve">Potência: 30.3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95%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Shielded lens para distribuição de luz sem sem encandeamento com UGR &lt;= 19 e luminâncias @ @ 65° 3000 Cd/m² cd/m² em conformidade com a norma EN 12464-1 para exigências visuais elevadas, por exemplo, locais com display/ecrans.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RAL9005 - preto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IK07.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AADD2E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2024-02-29T14:26:42+01:00</dcterms:created>
  <dcterms:modified xsi:type="dcterms:W3CDTF">2024-02-29T14:26:42+01:00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