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cpara alumbrado anti-pánico.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Carcasa de policarbonato, 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288 lm.</w:t>
      </w:r>
    </w:p>
    <w:p>
      <w:pPr>
        <w:numPr>
          <w:ilvl w:val="0"/>
          <w:numId w:val="3"/>
        </w:numPr>
      </w:pPr>
      <w:r>
        <w:rPr/>
        <w:t xml:space="preserve">Consumo de energía: 4.8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11.7 m.  A una altura de montaje de 2.8 m, la iluminancia en suelo es 0.5 lux con una interdistancia (b) de 13.3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3032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2024-06-28T13:41:58+02:00</dcterms:created>
  <dcterms:modified xsi:type="dcterms:W3CDTF">2024-06-28T13:41:58+02:00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