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38 mm.</w:t>
      </w:r>
    </w:p>
    <w:p>
      <w:pPr>
        <w:numPr>
          <w:ilvl w:val="0"/>
          <w:numId w:val="3"/>
        </w:numPr>
      </w:pPr>
      <w:r>
        <w:rPr/>
        <w:t xml:space="preserve">Placa de sinalização em acrílico 76 mm com lados iluminados, abertura sem parafusos, conexão elétrica automática (até 2.5mm²), terminais de fio sem parafusos, acessórios opcionais para montagem de encastrar, quatro portas break-out Ø13mm. Elevado rendimento luminoso para a iluminação vertical do equipamento de combate a incêndios (5 lux).</w:t>
      </w:r>
    </w:p>
    <w:p>
      <w:pPr>
        <w:numPr>
          <w:ilvl w:val="0"/>
          <w:numId w:val="3"/>
        </w:numPr>
      </w:pPr>
      <w:r>
        <w:rPr/>
        <w:t xml:space="preserve">Fluxo luminoso em estado de emergência: 150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/ RISK GROUP 2.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5F63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2024-06-28T13:33:03+02:00</dcterms:created>
  <dcterms:modified xsi:type="dcterms:W3CDTF">2024-06-28T13:33:03+02:00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