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1125 mm x 180 mm x 165 mm.</w:t>
      </w:r>
    </w:p>
    <w:p>
      <w:pPr>
        <w:numPr>
          <w:ilvl w:val="0"/>
          <w:numId w:val="3"/>
        </w:numPr>
      </w:pPr>
      <w:r>
        <w:rPr/>
        <w:t xml:space="preserve">Flux lumineux: 18000 lm, Efficacité lumineuse: 180 lm/W.</w:t>
      </w:r>
    </w:p>
    <w:p>
      <w:pPr>
        <w:numPr>
          <w:ilvl w:val="0"/>
          <w:numId w:val="3"/>
        </w:numPr>
      </w:pPr>
      <w:r>
        <w:rPr/>
        <w:t xml:space="preserve">Consommation de courant: 100.0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1A44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2024-06-27T08:02:25+02:00</dcterms:created>
  <dcterms:modified xsi:type="dcterms:W3CDTF">2024-06-27T08:02:25+02:00</dcterms:modified>
</cp:coreProperties>
</file>

<file path=docProps/custom.xml><?xml version="1.0" encoding="utf-8"?>
<Properties xmlns="http://schemas.openxmlformats.org/officeDocument/2006/custom-properties" xmlns:vt="http://schemas.openxmlformats.org/officeDocument/2006/docPropsVTypes"/>
</file>