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E62/LED4N60D</w:t>
      </w:r>
    </w:p>
    <w:p/>
    <w:p>
      <w:pPr/>
      <w:r>
        <w:pict>
          <v:shape type="#_x0000_t75" style="width:250pt; height:193.35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 för teknikutrymmen och parkeringshus.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linjär lins optik, polykarbonat (PC), bredstrålande ljusfördelning.</w:t>
      </w:r>
    </w:p>
    <w:p>
      <w:pPr>
        <w:numPr>
          <w:ilvl w:val="0"/>
          <w:numId w:val="3"/>
        </w:numPr>
      </w:pPr>
      <w:r>
        <w:rPr/>
        <w:t xml:space="preserve">För teknikutrymmen och parkeringshus.</w:t>
      </w:r>
    </w:p>
    <w:p>
      <w:pPr>
        <w:numPr>
          <w:ilvl w:val="0"/>
          <w:numId w:val="3"/>
        </w:numPr>
      </w:pPr>
      <w:r>
        <w:rPr/>
        <w:t xml:space="preserve">Dimensioner: 1640 mm x 56 mm x 80 mm.</w:t>
      </w:r>
    </w:p>
    <w:p>
      <w:pPr>
        <w:numPr>
          <w:ilvl w:val="0"/>
          <w:numId w:val="3"/>
        </w:numPr>
      </w:pPr>
      <w:r>
        <w:rPr/>
        <w:t xml:space="preserve">Ljusflöde: 6000 lm, Specifikt ljusutbyte: 125 lm/W.</w:t>
      </w:r>
    </w:p>
    <w:p>
      <w:pPr>
        <w:numPr>
          <w:ilvl w:val="0"/>
          <w:numId w:val="3"/>
        </w:numPr>
      </w:pPr>
      <w:r>
        <w:rPr/>
        <w:t xml:space="preserve">Energiförbrukning: 48.0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Polykarbonat armaturhus, RAL7037 - dusty grey.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756A9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2024-04-29T12:26:21+02:00</dcterms:created>
  <dcterms:modified xsi:type="dcterms:W3CDTF">2024-04-29T12:26:21+02:00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