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E4010/LED15N090D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linéaire industriel au design minimaliste. Protection contre les surtensions (LN/PE): 1kV/2kV (pour les environnements industriels légers).</w:t>
      </w:r>
    </w:p>
    <w:p>
      <w:pPr>
        <w:numPr>
          <w:ilvl w:val="0"/>
          <w:numId w:val="3"/>
        </w:numPr>
      </w:pPr>
      <w:r>
        <w:rPr/>
        <w:t xml:space="preserve">Dual●lens , optique polycarbonate (PC), distribution lumineuse intensive .</w:t>
      </w:r>
    </w:p>
    <w:p>
      <w:pPr>
        <w:numPr>
          <w:ilvl w:val="0"/>
          <w:numId w:val="3"/>
        </w:numPr>
      </w:pPr>
      <w:r>
        <w:rPr/>
        <w:t xml:space="preserve">Dimensions: 1560 mm x 60 mm x 135 mm.</w:t>
      </w:r>
    </w:p>
    <w:p>
      <w:pPr>
        <w:numPr>
          <w:ilvl w:val="0"/>
          <w:numId w:val="3"/>
        </w:numPr>
      </w:pPr>
      <w:r>
        <w:rPr/>
        <w:t xml:space="preserve">Flux lumineux: 9250 lm, Efficacité lumineuse: 125 lm/W.</w:t>
      </w:r>
    </w:p>
    <w:p>
      <w:pPr>
        <w:numPr>
          <w:ilvl w:val="0"/>
          <w:numId w:val="3"/>
        </w:numPr>
      </w:pPr>
      <w:r>
        <w:rPr/>
        <w:t xml:space="preserve">Consommation de courant: 74.0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avec UGR &lt;= {{object.ugrClass} conforme à la norme EN 12464-1 pour de faibles exigences visuelles et de concentration, mobilité fréquente.</w:t>
      </w:r>
    </w:p>
    <w:p>
      <w:pPr>
        <w:numPr>
          <w:ilvl w:val="0"/>
          <w:numId w:val="3"/>
        </w:numPr>
      </w:pPr>
      <w:r>
        <w:rPr/>
        <w:t xml:space="preserve">Caisson: aluminium laqué,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85F06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2024-04-29T12:53:22+02:00</dcterms:created>
  <dcterms:modified xsi:type="dcterms:W3CDTF">2024-04-29T12:53:22+02:00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