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E4010/LED15N090D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lineal con diseño elegante. Protección contra sobretensiones (LN/PE): 1kV/2kV (para entornos industriales ligeros).</w:t>
      </w:r>
    </w:p>
    <w:p>
      <w:pPr>
        <w:numPr>
          <w:ilvl w:val="0"/>
          <w:numId w:val="3"/>
        </w:numPr>
      </w:pPr>
      <w:r>
        <w:rPr/>
        <w:t xml:space="preserve">DUAL●LENS óptica, policarbonato (PC), intensiva distribución luminosa.</w:t>
      </w:r>
    </w:p>
    <w:p>
      <w:pPr>
        <w:numPr>
          <w:ilvl w:val="0"/>
          <w:numId w:val="3"/>
        </w:numPr>
      </w:pPr>
      <w:r>
        <w:rPr/>
        <w:t xml:space="preserve">Dimensiones: 1560 mm x 60 mm x 135 mm.</w:t>
      </w:r>
    </w:p>
    <w:p>
      <w:pPr>
        <w:numPr>
          <w:ilvl w:val="0"/>
          <w:numId w:val="3"/>
        </w:numPr>
      </w:pPr>
      <w:r>
        <w:rPr/>
        <w:t xml:space="preserve">Flujo luminoso: 9250 lm, Flujo luminoso específico: 125 lm/W.</w:t>
      </w:r>
    </w:p>
    <w:p>
      <w:pPr>
        <w:numPr>
          <w:ilvl w:val="0"/>
          <w:numId w:val="3"/>
        </w:numPr>
      </w:pPr>
      <w:r>
        <w:rPr/>
        <w:t xml:space="preserve">Consumo de energía: 74.0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DUAL●LENS™ con UGR &lt;= 25 conforme a la norma EN 12464-1 para baja demanda visual, y movilidad frecuente en puesto de trabajo.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IK06.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00344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2024-04-29T12:53:19+02:00</dcterms:created>
  <dcterms:modified xsi:type="dcterms:W3CDTF">2024-04-29T12:53:19+02:00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