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Cylindrische behuizing uit aluminium,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200 mm x 212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1550 lm, Specifieke lichtstroom: 148 lm/W.</w:t>
      </w:r>
    </w:p>
    <w:p>
      <w:pPr>
        <w:numPr>
          <w:ilvl w:val="0"/>
          <w:numId w:val="3"/>
        </w:numPr>
      </w:pPr>
      <w:r>
        <w:rPr/>
        <w:t xml:space="preserve">Opgenomen vermogen: 10.5 W, niet-dimbaar.</w:t>
      </w:r>
    </w:p>
    <w:p>
      <w:pPr>
        <w:numPr>
          <w:ilvl w:val="0"/>
          <w:numId w:val="3"/>
        </w:numPr>
      </w:pPr>
      <w:r>
        <w:rPr/>
        <w:t xml:space="preserve">Frequentie: 50Hz AC.</w:t>
      </w:r>
    </w:p>
    <w:p>
      <w:pPr>
        <w:numPr>
          <w:ilvl w:val="0"/>
          <w:numId w:val="3"/>
        </w:numPr>
      </w:pPr>
      <w:r>
        <w:rPr/>
        <w:t xml:space="preserve">Spanning: 230-240V.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F942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2024-08-29T10:11:32+02:00</dcterms:created>
  <dcterms:modified xsi:type="dcterms:W3CDTF">2024-08-29T10:11:32+02:00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