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superficie con reflector de aluminio.</w:t>
      </w:r>
    </w:p>
    <w:p>
      <w:pPr>
        <w:numPr>
          <w:ilvl w:val="0"/>
          <w:numId w:val="3"/>
        </w:numPr>
      </w:pPr>
      <w:r>
        <w:rPr/>
        <w:t xml:space="preserve">reflector óptica, aluminio, satinado,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en aluminio, otros colores RAL disponibles bajo pedido.</w:t>
      </w:r>
    </w:p>
    <w:p>
      <w:pPr>
        <w:numPr>
          <w:ilvl w:val="0"/>
          <w:numId w:val="3"/>
        </w:numPr>
      </w:pPr>
      <w:r>
        <w:rPr/>
        <w:t xml:space="preserve">Dimensiones: Ø 200 mm x 212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El reflector apantalla la fuente de luz evitando así el deslumbramiento. Distribución de luz extensiva.</w:t>
      </w:r>
    </w:p>
    <w:p>
      <w:pPr>
        <w:numPr>
          <w:ilvl w:val="0"/>
          <w:numId w:val="3"/>
        </w:numPr>
      </w:pPr>
      <w:r>
        <w:rPr/>
        <w:t xml:space="preserve">Flujo luminoso: 2550 lm, Flujo luminoso específico: 138 lm/W.</w:t>
      </w:r>
    </w:p>
    <w:p>
      <w:pPr>
        <w:numPr>
          <w:ilvl w:val="0"/>
          <w:numId w:val="3"/>
        </w:numPr>
      </w:pPr>
      <w:r>
        <w:rPr/>
        <w:t xml:space="preserve">Consumo de energía: 18.5 W, DALI regulable.</w:t>
      </w:r>
    </w:p>
    <w:p>
      <w:pPr>
        <w:numPr>
          <w:ilvl w:val="0"/>
          <w:numId w:val="3"/>
        </w:numPr>
      </w:pPr>
      <w:r>
        <w:rPr/>
        <w:t xml:space="preserve">Frecuencia: 50Hz AC.</w:t>
      </w:r>
    </w:p>
    <w:p>
      <w:pPr>
        <w:numPr>
          <w:ilvl w:val="0"/>
          <w:numId w:val="3"/>
        </w:numPr>
      </w:pPr>
      <w:r>
        <w:rPr/>
        <w:t xml:space="preserve">Tensión: 230-240V.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0A83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2024-08-29T10:10:54+02:00</dcterms:created>
  <dcterms:modified xsi:type="dcterms:W3CDTF">2024-08-29T10:10:54+02:00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