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montagem saliente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satinado,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Corpo cilindrico em aluminio, outras cores RAL possiveis a pedido.</w:t>
      </w:r>
    </w:p>
    <w:p>
      <w:pPr>
        <w:numPr>
          <w:ilvl w:val="0"/>
          <w:numId w:val="3"/>
        </w:numPr>
      </w:pPr>
      <w:r>
        <w:rPr/>
        <w:t xml:space="preserve">Dimensões: Ø 200 mm x 212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1550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10.5 W, não regulável.</w:t>
      </w:r>
    </w:p>
    <w:p>
      <w:pPr>
        <w:numPr>
          <w:ilvl w:val="0"/>
          <w:numId w:val="3"/>
        </w:numPr>
      </w:pPr>
      <w:r>
        <w:rPr/>
        <w:t xml:space="preserve">Frequência: 50Hz AC.</w:t>
      </w:r>
    </w:p>
    <w:p>
      <w:pPr>
        <w:numPr>
          <w:ilvl w:val="0"/>
          <w:numId w:val="3"/>
        </w:numPr>
      </w:pPr>
      <w:r>
        <w:rPr/>
        <w:t xml:space="preserve">Tensão: 230-240V.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3062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2024-08-29T10:10:52+02:00</dcterms:created>
  <dcterms:modified xsi:type="dcterms:W3CDTF">2024-08-29T10:10:52+02:00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