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Aluminium cylindrical housing,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1550 lm, Luminous efficacy: 148 lm/W.</w:t>
      </w:r>
    </w:p>
    <w:p>
      <w:pPr>
        <w:numPr>
          <w:ilvl w:val="0"/>
          <w:numId w:val="3"/>
        </w:numPr>
      </w:pPr>
      <w:r>
        <w:rPr/>
        <w:t xml:space="preserve">Power: 10.5 W, not dimmable.</w:t>
      </w:r>
    </w:p>
    <w:p>
      <w:pPr>
        <w:numPr>
          <w:ilvl w:val="0"/>
          <w:numId w:val="3"/>
        </w:numPr>
      </w:pPr>
      <w:r>
        <w:rPr/>
        <w:t xml:space="preserve">Frequency: 50Hz AC.</w:t>
      </w:r>
    </w:p>
    <w:p>
      <w:pPr>
        <w:numPr>
          <w:ilvl w:val="0"/>
          <w:numId w:val="3"/>
        </w:numPr>
      </w:pPr>
      <w:r>
        <w:rPr/>
        <w:t xml:space="preserve">Voltage: 230-240V.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8B8F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2024-08-29T10:10:53+02:00</dcterms:created>
  <dcterms:modified xsi:type="dcterms:W3CDTF">2024-08-29T10:10:53+02:00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